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/>
        <w:rPr>
          <w:rFonts w:ascii="Times New Roman"/>
        </w:rPr>
      </w:pPr>
      <w:r>
        <w:rPr>
          <w:rFonts w:ascii="Times New Roman"/>
        </w:rPr>
        <w:pict>
          <v:group style="width:577.2pt;height:330.3pt;mso-position-horizontal-relative:char;mso-position-vertical-relative:line" coordorigin="0,0" coordsize="11544,6606">
            <v:shape style="position:absolute;left:0;top:0;width:11520;height:6606" type="#_x0000_t75" stroked="false">
              <v:imagedata r:id="rId5" o:title=""/>
            </v:shape>
            <v:shape style="position:absolute;left:9187;top:417;width:2357;height:2072" type="#_x0000_t75" stroked="false">
              <v:imagedata r:id="rId6" o:title=""/>
            </v:shape>
            <v:rect style="position:absolute;left:151;top:4616;width:8676;height:1729" filled="true" fillcolor="#b50837" stroked="false">
              <v:fill type="solid"/>
            </v:rect>
            <v:shape style="position:absolute;left:7240;top:4818;width:1399;height:1318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544;height:6606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imes New Roman"/>
                        <w:sz w:val="66"/>
                      </w:rPr>
                    </w:pPr>
                  </w:p>
                  <w:p>
                    <w:pPr>
                      <w:spacing w:before="0"/>
                      <w:ind w:left="252" w:right="0" w:firstLine="0"/>
                      <w:jc w:val="left"/>
                      <w:rPr>
                        <w:rFonts w:ascii="Tahoma" w:hAnsi="Tahoma"/>
                        <w:b/>
                        <w:sz w:val="62"/>
                      </w:rPr>
                    </w:pPr>
                    <w:r>
                      <w:rPr>
                        <w:rFonts w:ascii="Tahoma" w:hAnsi="Tahoma"/>
                        <w:b/>
                        <w:color w:val="221F1F"/>
                        <w:w w:val="95"/>
                        <w:sz w:val="62"/>
                      </w:rPr>
                      <w:t>Conférences</w:t>
                    </w:r>
                    <w:r>
                      <w:rPr>
                        <w:rFonts w:ascii="Tahoma" w:hAnsi="Tahoma"/>
                        <w:b/>
                        <w:color w:val="221F1F"/>
                        <w:spacing w:val="36"/>
                        <w:w w:val="95"/>
                        <w:sz w:val="62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21F1F"/>
                        <w:w w:val="95"/>
                        <w:sz w:val="62"/>
                      </w:rPr>
                      <w:t>scientifiques</w:t>
                    </w:r>
                    <w:r>
                      <w:rPr>
                        <w:rFonts w:ascii="Tahoma" w:hAnsi="Tahoma"/>
                        <w:b/>
                        <w:color w:val="221F1F"/>
                        <w:spacing w:val="37"/>
                        <w:w w:val="95"/>
                        <w:sz w:val="62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21F1F"/>
                        <w:w w:val="95"/>
                        <w:sz w:val="62"/>
                      </w:rPr>
                      <w:t>du</w:t>
                    </w:r>
                  </w:p>
                </w:txbxContent>
              </v:textbox>
              <w10:wrap type="none"/>
            </v:shape>
            <v:shape style="position:absolute;left:151;top:4616;width:8676;height:1729" type="#_x0000_t202" filled="false" stroked="false">
              <v:textbox inset="0,0,0,0">
                <w:txbxContent>
                  <w:p>
                    <w:pPr>
                      <w:spacing w:before="225"/>
                      <w:ind w:left="123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Natalina</w:t>
                    </w: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Martiniello,</w:t>
                    </w:r>
                    <w:r>
                      <w:rPr>
                        <w:b/>
                        <w:color w:val="FFFFFF"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Ph. D.</w:t>
                    </w:r>
                  </w:p>
                  <w:p>
                    <w:pPr>
                      <w:spacing w:before="34"/>
                      <w:ind w:left="12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Université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de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Montréal</w:t>
                    </w: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12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Chercheure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à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l’École d’optométrie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de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l’Université</w:t>
                    </w:r>
                    <w:r>
                      <w:rPr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de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Montréal</w:t>
                    </w:r>
                  </w:p>
                </w:txbxContent>
              </v:textbox>
              <w10:wrap type="none"/>
            </v:shape>
            <v:shape style="position:absolute;left:151;top:2541;width:11230;height:1873" type="#_x0000_t202" filled="true" fillcolor="#1c83af" stroked="false">
              <v:textbox inset="0,0,0,0">
                <w:txbxContent>
                  <w:p>
                    <w:pPr>
                      <w:spacing w:before="78"/>
                      <w:ind w:left="385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Conférence</w:t>
                    </w:r>
                    <w:r>
                      <w:rPr>
                        <w:b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scientifique</w:t>
                    </w:r>
                    <w:r>
                      <w:rPr>
                        <w:b/>
                        <w:color w:val="FFFFFF"/>
                        <w:spacing w:val="-5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du</w:t>
                    </w:r>
                    <w:r>
                      <w:rPr>
                        <w:b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CRIR-INLB</w:t>
                    </w:r>
                    <w:r>
                      <w:rPr>
                        <w:b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-</w:t>
                    </w:r>
                    <w:r>
                      <w:rPr>
                        <w:b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Natalina</w:t>
                    </w:r>
                    <w:r>
                      <w:rPr>
                        <w:b/>
                        <w:color w:val="FFFFFF"/>
                        <w:spacing w:val="-3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Martiniello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line="273" w:lineRule="auto" w:before="1"/>
                      <w:ind w:left="528" w:right="43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>Inclusion,</w:t>
                    </w:r>
                    <w:r>
                      <w:rPr>
                        <w:b/>
                        <w:color w:val="FFFFFF"/>
                        <w:spacing w:val="-33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>diversité,</w:t>
                    </w:r>
                    <w:r>
                      <w:rPr>
                        <w:b/>
                        <w:color w:val="FFFFFF"/>
                        <w:spacing w:val="-32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équité</w:t>
                    </w:r>
                    <w:r>
                      <w:rPr>
                        <w:b/>
                        <w:color w:val="FFFFFF"/>
                        <w:spacing w:val="-33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et</w:t>
                    </w:r>
                    <w:r>
                      <w:rPr>
                        <w:b/>
                        <w:color w:val="FFFFFF"/>
                        <w:spacing w:val="-3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accessibilité</w:t>
                    </w:r>
                    <w:r>
                      <w:rPr>
                        <w:b/>
                        <w:color w:val="FFFFFF"/>
                        <w:spacing w:val="-32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pour</w:t>
                    </w:r>
                    <w:r>
                      <w:rPr>
                        <w:b/>
                        <w:color w:val="FFFFFF"/>
                        <w:spacing w:val="-3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les</w:t>
                    </w:r>
                    <w:r>
                      <w:rPr>
                        <w:b/>
                        <w:color w:val="FFFFFF"/>
                        <w:spacing w:val="-33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étudiants</w:t>
                    </w:r>
                    <w:r>
                      <w:rPr>
                        <w:b/>
                        <w:color w:val="FFFFFF"/>
                        <w:spacing w:val="-33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postsecondaires</w:t>
                    </w:r>
                    <w:r>
                      <w:rPr>
                        <w:b/>
                        <w:color w:val="FFFFFF"/>
                        <w:spacing w:val="-8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ayant une déficience visuelle : aborder les obstacles systémiques par une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approche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de</w:t>
                    </w:r>
                    <w:r>
                      <w:rPr>
                        <w:b/>
                        <w:color w:val="FFFFFF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coconception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Title"/>
        <w:spacing w:line="215" w:lineRule="exact"/>
        <w:ind w:left="6548"/>
        <w:rPr>
          <w:rFonts w:ascii="Arial MT" w:hAnsi="Arial MT"/>
        </w:rPr>
      </w:pPr>
      <w:r>
        <w:rPr>
          <w:rFonts w:ascii="Arial MT" w:hAnsi="Arial MT"/>
          <w:color w:val="414142"/>
        </w:rPr>
        <w:t>Conférence</w:t>
      </w:r>
      <w:r>
        <w:rPr>
          <w:rFonts w:ascii="Arial MT" w:hAnsi="Arial MT"/>
          <w:color w:val="414142"/>
          <w:spacing w:val="-5"/>
        </w:rPr>
        <w:t> </w:t>
      </w:r>
      <w:r>
        <w:rPr>
          <w:rFonts w:ascii="Arial MT" w:hAnsi="Arial MT"/>
          <w:color w:val="414142"/>
        </w:rPr>
        <w:t>en</w:t>
      </w:r>
      <w:r>
        <w:rPr>
          <w:rFonts w:ascii="Arial MT" w:hAnsi="Arial MT"/>
          <w:color w:val="414142"/>
          <w:spacing w:val="-4"/>
        </w:rPr>
        <w:t> </w:t>
      </w:r>
      <w:r>
        <w:rPr>
          <w:rFonts w:ascii="Arial MT" w:hAnsi="Arial MT"/>
          <w:color w:val="414142"/>
        </w:rPr>
        <w:t>français</w:t>
      </w:r>
      <w:r>
        <w:rPr>
          <w:rFonts w:ascii="Arial MT" w:hAnsi="Arial MT"/>
          <w:color w:val="414142"/>
          <w:spacing w:val="-5"/>
        </w:rPr>
        <w:t> </w:t>
      </w:r>
      <w:r>
        <w:rPr>
          <w:rFonts w:ascii="Arial MT" w:hAnsi="Arial MT"/>
          <w:color w:val="414142"/>
        </w:rPr>
        <w:t>avec</w:t>
      </w:r>
      <w:r>
        <w:rPr>
          <w:rFonts w:ascii="Arial MT" w:hAnsi="Arial MT"/>
          <w:color w:val="414142"/>
          <w:spacing w:val="-2"/>
        </w:rPr>
        <w:t> </w:t>
      </w:r>
      <w:r>
        <w:rPr>
          <w:rFonts w:ascii="Arial MT" w:hAnsi="Arial MT"/>
          <w:color w:val="414142"/>
        </w:rPr>
        <w:t>support</w:t>
      </w:r>
      <w:r>
        <w:rPr>
          <w:rFonts w:ascii="Arial MT" w:hAnsi="Arial MT"/>
          <w:color w:val="414142"/>
          <w:spacing w:val="-2"/>
        </w:rPr>
        <w:t> </w:t>
      </w:r>
      <w:r>
        <w:rPr>
          <w:rFonts w:ascii="Arial MT" w:hAnsi="Arial MT"/>
          <w:color w:val="414142"/>
        </w:rPr>
        <w:t>écrit</w:t>
      </w:r>
      <w:r>
        <w:rPr>
          <w:rFonts w:ascii="Arial MT" w:hAnsi="Arial MT"/>
          <w:color w:val="414142"/>
          <w:spacing w:val="-2"/>
        </w:rPr>
        <w:t> </w:t>
      </w:r>
      <w:r>
        <w:rPr>
          <w:rFonts w:ascii="Arial MT" w:hAnsi="Arial MT"/>
          <w:color w:val="414142"/>
        </w:rPr>
        <w:t>en</w:t>
      </w:r>
      <w:r>
        <w:rPr>
          <w:rFonts w:ascii="Arial MT" w:hAnsi="Arial MT"/>
          <w:color w:val="414142"/>
          <w:spacing w:val="-4"/>
        </w:rPr>
        <w:t> </w:t>
      </w:r>
      <w:r>
        <w:rPr>
          <w:rFonts w:ascii="Arial MT" w:hAnsi="Arial MT"/>
          <w:color w:val="414142"/>
        </w:rPr>
        <w:t>anglais</w:t>
      </w:r>
    </w:p>
    <w:p>
      <w:pPr>
        <w:pStyle w:val="BodyText"/>
        <w:spacing w:before="6"/>
        <w:rPr>
          <w:rFonts w:ascii="Arial MT"/>
        </w:rPr>
      </w:pPr>
    </w:p>
    <w:p>
      <w:pPr>
        <w:pStyle w:val="Title"/>
        <w:spacing w:line="264" w:lineRule="auto"/>
        <w:ind w:right="324"/>
      </w:pPr>
      <w:r>
        <w:rPr>
          <w:color w:val="414042"/>
        </w:rPr>
        <w:t>Natalina Martiniello détient un doctorat en sciences de la vision de l’Université de Montréal et est</w:t>
      </w:r>
      <w:r>
        <w:rPr>
          <w:color w:val="414042"/>
          <w:spacing w:val="1"/>
        </w:rPr>
        <w:t> </w:t>
      </w:r>
      <w:r>
        <w:rPr>
          <w:color w:val="414042"/>
        </w:rPr>
        <w:t>également thérapeute certifiée en réadaptation visuelle. En tant que personne aveugle, elle reste</w:t>
      </w:r>
      <w:r>
        <w:rPr>
          <w:color w:val="414042"/>
          <w:spacing w:val="1"/>
        </w:rPr>
        <w:t> </w:t>
      </w:r>
      <w:r>
        <w:rPr>
          <w:color w:val="414042"/>
        </w:rPr>
        <w:t>engagée à faire progresser l’accessibilité et l’inclusion. Elle est présidente sortante de Braille Literacy</w:t>
      </w:r>
      <w:r>
        <w:rPr>
          <w:color w:val="414042"/>
          <w:spacing w:val="-75"/>
        </w:rPr>
        <w:t> </w:t>
      </w:r>
      <w:r>
        <w:rPr>
          <w:color w:val="414042"/>
          <w:spacing w:val="-1"/>
        </w:rPr>
        <w:t>Canada,</w:t>
      </w:r>
      <w:r>
        <w:rPr>
          <w:color w:val="414042"/>
          <w:spacing w:val="-26"/>
        </w:rPr>
        <w:t> </w:t>
      </w:r>
      <w:r>
        <w:rPr>
          <w:color w:val="414042"/>
          <w:spacing w:val="-1"/>
        </w:rPr>
        <w:t>directrice</w:t>
      </w:r>
      <w:r>
        <w:rPr>
          <w:color w:val="414042"/>
          <w:spacing w:val="-24"/>
        </w:rPr>
        <w:t> </w:t>
      </w:r>
      <w:r>
        <w:rPr>
          <w:color w:val="414042"/>
          <w:spacing w:val="-1"/>
        </w:rPr>
        <w:t>du</w:t>
      </w:r>
      <w:r>
        <w:rPr>
          <w:color w:val="414042"/>
          <w:spacing w:val="-20"/>
        </w:rPr>
        <w:t> </w:t>
      </w:r>
      <w:r>
        <w:rPr>
          <w:color w:val="414042"/>
          <w:spacing w:val="-1"/>
        </w:rPr>
        <w:t>Conseil</w:t>
      </w:r>
      <w:r>
        <w:rPr>
          <w:color w:val="414042"/>
          <w:spacing w:val="-23"/>
        </w:rPr>
        <w:t> </w:t>
      </w:r>
      <w:r>
        <w:rPr>
          <w:color w:val="414042"/>
        </w:rPr>
        <w:t>international</w:t>
      </w:r>
      <w:r>
        <w:rPr>
          <w:color w:val="414042"/>
          <w:spacing w:val="-25"/>
        </w:rPr>
        <w:t> </w:t>
      </w:r>
      <w:r>
        <w:rPr>
          <w:color w:val="414042"/>
        </w:rPr>
        <w:t>du</w:t>
      </w:r>
      <w:r>
        <w:rPr>
          <w:color w:val="414042"/>
          <w:spacing w:val="-24"/>
        </w:rPr>
        <w:t> </w:t>
      </w:r>
      <w:r>
        <w:rPr>
          <w:color w:val="414042"/>
        </w:rPr>
        <w:t>braille</w:t>
      </w:r>
      <w:r>
        <w:rPr>
          <w:color w:val="414042"/>
          <w:spacing w:val="-22"/>
        </w:rPr>
        <w:t> </w:t>
      </w:r>
      <w:r>
        <w:rPr>
          <w:color w:val="414042"/>
        </w:rPr>
        <w:t>anglais</w:t>
      </w:r>
      <w:r>
        <w:rPr>
          <w:color w:val="414042"/>
          <w:spacing w:val="-21"/>
        </w:rPr>
        <w:t> </w:t>
      </w:r>
      <w:r>
        <w:rPr>
          <w:color w:val="414042"/>
        </w:rPr>
        <w:t>et</w:t>
      </w:r>
      <w:r>
        <w:rPr>
          <w:color w:val="414042"/>
          <w:spacing w:val="-26"/>
        </w:rPr>
        <w:t> </w:t>
      </w:r>
      <w:r>
        <w:rPr>
          <w:color w:val="414042"/>
        </w:rPr>
        <w:t>vice-présidente</w:t>
      </w:r>
      <w:r>
        <w:rPr>
          <w:color w:val="414042"/>
          <w:spacing w:val="-24"/>
        </w:rPr>
        <w:t> </w:t>
      </w:r>
      <w:r>
        <w:rPr>
          <w:color w:val="414042"/>
        </w:rPr>
        <w:t>du</w:t>
      </w:r>
      <w:r>
        <w:rPr>
          <w:color w:val="414042"/>
          <w:spacing w:val="-25"/>
        </w:rPr>
        <w:t> </w:t>
      </w:r>
      <w:r>
        <w:rPr>
          <w:color w:val="414042"/>
        </w:rPr>
        <w:t>Réseau</w:t>
      </w:r>
      <w:r>
        <w:rPr>
          <w:color w:val="414042"/>
          <w:spacing w:val="-23"/>
        </w:rPr>
        <w:t> </w:t>
      </w:r>
      <w:r>
        <w:rPr>
          <w:color w:val="414042"/>
        </w:rPr>
        <w:t>international</w:t>
      </w:r>
      <w:r>
        <w:rPr>
          <w:color w:val="414042"/>
          <w:spacing w:val="-74"/>
        </w:rPr>
        <w:t> </w:t>
      </w:r>
      <w:r>
        <w:rPr>
          <w:color w:val="414042"/>
        </w:rPr>
        <w:t>des</w:t>
      </w:r>
      <w:r>
        <w:rPr>
          <w:color w:val="414042"/>
          <w:spacing w:val="-2"/>
        </w:rPr>
        <w:t> </w:t>
      </w:r>
      <w:r>
        <w:rPr>
          <w:color w:val="414042"/>
        </w:rPr>
        <w:t>chercheurs</w:t>
      </w:r>
      <w:r>
        <w:rPr>
          <w:color w:val="414042"/>
          <w:spacing w:val="-1"/>
        </w:rPr>
        <w:t> </w:t>
      </w:r>
      <w:r>
        <w:rPr>
          <w:color w:val="414042"/>
        </w:rPr>
        <w:t>ayant</w:t>
      </w:r>
      <w:r>
        <w:rPr>
          <w:color w:val="414042"/>
          <w:spacing w:val="-4"/>
        </w:rPr>
        <w:t> </w:t>
      </w:r>
      <w:r>
        <w:rPr>
          <w:color w:val="414042"/>
        </w:rPr>
        <w:t>une</w:t>
      </w:r>
      <w:r>
        <w:rPr>
          <w:color w:val="414042"/>
          <w:spacing w:val="-1"/>
        </w:rPr>
        <w:t> </w:t>
      </w:r>
      <w:r>
        <w:rPr>
          <w:color w:val="414042"/>
        </w:rPr>
        <w:t>déficience</w:t>
      </w:r>
      <w:r>
        <w:rPr>
          <w:color w:val="414042"/>
          <w:spacing w:val="-1"/>
        </w:rPr>
        <w:t> </w:t>
      </w:r>
      <w:r>
        <w:rPr>
          <w:color w:val="414042"/>
        </w:rPr>
        <w:t>visuelle</w:t>
      </w:r>
      <w:r>
        <w:rPr>
          <w:color w:val="414042"/>
          <w:spacing w:val="-2"/>
        </w:rPr>
        <w:t> </w:t>
      </w:r>
      <w:r>
        <w:rPr>
          <w:color w:val="414042"/>
        </w:rPr>
        <w:t>et</w:t>
      </w:r>
      <w:r>
        <w:rPr>
          <w:color w:val="414042"/>
          <w:spacing w:val="-2"/>
        </w:rPr>
        <w:t> </w:t>
      </w:r>
      <w:r>
        <w:rPr>
          <w:color w:val="414042"/>
        </w:rPr>
        <w:t>leurs</w:t>
      </w:r>
      <w:r>
        <w:rPr>
          <w:color w:val="414042"/>
          <w:spacing w:val="-32"/>
        </w:rPr>
        <w:t> </w:t>
      </w:r>
      <w:r>
        <w:rPr>
          <w:color w:val="414042"/>
        </w:rPr>
        <w:t>alliés.</w:t>
      </w:r>
    </w:p>
    <w:p>
      <w:pPr>
        <w:pStyle w:val="BodyText"/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18pt;margin-top:8.599011pt;width:572.050pt;height:121pt;mso-position-horizontal-relative:page;mso-position-vertical-relative:paragraph;z-index:-15728128;mso-wrap-distance-left:0;mso-wrap-distance-right:0" type="#_x0000_t202" filled="true" fillcolor="#1c83af" stroked="false">
            <v:textbox inset="0,0,0,0">
              <w:txbxContent>
                <w:p>
                  <w:pPr>
                    <w:pStyle w:val="BodyText"/>
                    <w:spacing w:before="54"/>
                    <w:ind w:left="86" w:right="106"/>
                    <w:jc w:val="both"/>
                  </w:pPr>
                  <w:r>
                    <w:rPr>
                      <w:color w:val="FFFFFF"/>
                    </w:rPr>
                    <w:t>Le taux de chômage des personnes ayant une déficience visuelle atteint toujours le chiffre stupéfiant de 70 %.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Cette situation est particulièrement problématique dans les disciplines de la santé et des sciences, où les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personnes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handicapées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demeurent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nettement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sous-représentées.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La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conférencière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est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elle-même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une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chercheuse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aveugle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ayant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une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expérience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vécue.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Sa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présentation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donnera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un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aperçu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de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ce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projet</w:t>
                  </w:r>
                  <w:r>
                    <w:rPr>
                      <w:color w:val="FFFFFF"/>
                      <w:spacing w:val="70"/>
                    </w:rPr>
                    <w:t> </w:t>
                  </w:r>
                  <w:r>
                    <w:rPr>
                      <w:color w:val="FFFFFF"/>
                    </w:rPr>
                    <w:t>de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recherche, qui explorera les barrières systémiques rencontrées par les étudiants de niveau postsecondaire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ayant une déficience visuelle, puis coconcevra, mettra en œuvre et évaluera des solutions axées sur la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communauté.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Les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participants apprendront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ce que l’on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connaît des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obstacles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liés à l’accessibilité et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au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capacitisme systémique au sein de cette population, des initiatives qui existent pour soutenir les étudiants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aveugles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et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de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la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façon dont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cette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recherche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collaborative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fera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progresser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les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efforts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dans ce</w:t>
                  </w:r>
                  <w:r>
                    <w:rPr>
                      <w:color w:val="FFFFFF"/>
                      <w:spacing w:val="-15"/>
                    </w:rPr>
                    <w:t> </w:t>
                  </w:r>
                  <w:r>
                    <w:rPr>
                      <w:color w:val="FFFFFF"/>
                    </w:rPr>
                    <w:t>domaine.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20.094999pt;margin-top:8.779326pt;width:567.9pt;height:176.7pt;mso-position-horizontal-relative:page;mso-position-vertical-relative:paragraph;z-index:-15727616;mso-wrap-distance-left:0;mso-wrap-distance-right:0" coordorigin="402,176" coordsize="11358,3534">
            <v:shape style="position:absolute;left:619;top:285;width:598;height:644" type="#_x0000_t75" stroked="false">
              <v:imagedata r:id="rId8" o:title=""/>
            </v:shape>
            <v:rect style="position:absolute;left:410;top:183;width:11341;height:3517" filled="false" stroked="true" strokeweight=".81pt" strokecolor="#b50837">
              <v:stroke dashstyle="solid"/>
            </v:rect>
            <v:shape style="position:absolute;left:670;top:2897;width:626;height:604" type="#_x0000_t75" stroked="false">
              <v:imagedata r:id="rId9" o:title=""/>
            </v:shape>
            <v:shape style="position:absolute;left:9793;top:411;width:1801;height:562" type="#_x0000_t75" stroked="false">
              <v:imagedata r:id="rId10" o:title=""/>
            </v:shape>
            <v:shape style="position:absolute;left:1442;top:264;width:4463;height:972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14042"/>
                        <w:sz w:val="20"/>
                      </w:rPr>
                      <w:t>Mercredi</w:t>
                    </w:r>
                    <w:r>
                      <w:rPr>
                        <w:b/>
                        <w:color w:val="414042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414042"/>
                        <w:sz w:val="20"/>
                      </w:rPr>
                      <w:t>5</w:t>
                    </w:r>
                    <w:r>
                      <w:rPr>
                        <w:b/>
                        <w:color w:val="414042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414042"/>
                        <w:sz w:val="20"/>
                      </w:rPr>
                      <w:t>octobre</w:t>
                    </w:r>
                    <w:r>
                      <w:rPr>
                        <w:b/>
                        <w:color w:val="414042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414042"/>
                        <w:sz w:val="20"/>
                      </w:rPr>
                      <w:t>2022</w:t>
                    </w:r>
                  </w:p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14042"/>
                        <w:sz w:val="20"/>
                      </w:rPr>
                      <w:t>12</w:t>
                    </w:r>
                    <w:r>
                      <w:rPr>
                        <w:color w:val="414042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414042"/>
                        <w:sz w:val="20"/>
                      </w:rPr>
                      <w:t>h</w:t>
                    </w:r>
                    <w:r>
                      <w:rPr>
                        <w:color w:val="414042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14042"/>
                        <w:sz w:val="20"/>
                      </w:rPr>
                      <w:t>10</w:t>
                    </w:r>
                    <w:r>
                      <w:rPr>
                        <w:color w:val="414042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14042"/>
                        <w:sz w:val="20"/>
                      </w:rPr>
                      <w:t>à</w:t>
                    </w:r>
                    <w:r>
                      <w:rPr>
                        <w:color w:val="414042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14042"/>
                        <w:sz w:val="20"/>
                      </w:rPr>
                      <w:t>13</w:t>
                    </w:r>
                    <w:r>
                      <w:rPr>
                        <w:color w:val="414042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14042"/>
                        <w:sz w:val="20"/>
                      </w:rPr>
                      <w:t>h</w:t>
                    </w:r>
                    <w:r>
                      <w:rPr>
                        <w:color w:val="414042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14042"/>
                        <w:sz w:val="20"/>
                      </w:rPr>
                      <w:t>00</w:t>
                    </w:r>
                    <w:r>
                      <w:rPr>
                        <w:color w:val="414042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414042"/>
                        <w:sz w:val="20"/>
                      </w:rPr>
                      <w:t>-</w:t>
                    </w:r>
                    <w:r>
                      <w:rPr>
                        <w:color w:val="414042"/>
                        <w:spacing w:val="54"/>
                        <w:sz w:val="20"/>
                      </w:rPr>
                      <w:t> </w:t>
                    </w:r>
                    <w:r>
                      <w:rPr>
                        <w:color w:val="414042"/>
                        <w:sz w:val="20"/>
                      </w:rPr>
                      <w:t>conférence</w:t>
                    </w:r>
                  </w:p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14042"/>
                        <w:sz w:val="20"/>
                      </w:rPr>
                      <w:t>INLB</w:t>
                    </w:r>
                    <w:r>
                      <w:rPr>
                        <w:b/>
                        <w:color w:val="414042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414042"/>
                        <w:sz w:val="20"/>
                      </w:rPr>
                      <w:t>du</w:t>
                    </w:r>
                    <w:r>
                      <w:rPr>
                        <w:b/>
                        <w:color w:val="414042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414042"/>
                        <w:sz w:val="20"/>
                      </w:rPr>
                      <w:t>CISSS</w:t>
                    </w:r>
                    <w:r>
                      <w:rPr>
                        <w:b/>
                        <w:color w:val="414042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414042"/>
                        <w:sz w:val="20"/>
                      </w:rPr>
                      <w:t>de</w:t>
                    </w:r>
                    <w:r>
                      <w:rPr>
                        <w:b/>
                        <w:color w:val="414042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414042"/>
                        <w:sz w:val="20"/>
                      </w:rPr>
                      <w:t>la</w:t>
                    </w:r>
                    <w:r>
                      <w:rPr>
                        <w:b/>
                        <w:color w:val="414042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414042"/>
                        <w:sz w:val="20"/>
                      </w:rPr>
                      <w:t>Montérégie-Centre</w:t>
                    </w:r>
                  </w:p>
                </w:txbxContent>
              </v:textbox>
              <w10:wrap type="none"/>
            </v:shape>
            <v:shape style="position:absolute;left:784;top:1826;width:260;height:732" type="#_x0000_t202" filled="false" stroked="false">
              <v:textbox inset="0,0,0,0">
                <w:txbxContent>
                  <w:p>
                    <w:pPr>
                      <w:spacing w:line="732" w:lineRule="exact" w:before="0"/>
                      <w:ind w:left="0" w:right="0" w:firstLine="0"/>
                      <w:jc w:val="left"/>
                      <w:rPr>
                        <w:rFonts w:ascii="Palatino Linotype"/>
                        <w:b/>
                        <w:i/>
                        <w:sz w:val="72"/>
                      </w:rPr>
                    </w:pPr>
                    <w:r>
                      <w:rPr>
                        <w:rFonts w:ascii="Palatino Linotype"/>
                        <w:b/>
                        <w:i/>
                        <w:color w:val="B50837"/>
                        <w:sz w:val="7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442;top:1570;width:5230;height:581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14042"/>
                        <w:sz w:val="20"/>
                      </w:rPr>
                      <w:t>Informations</w:t>
                    </w:r>
                    <w:r>
                      <w:rPr>
                        <w:b/>
                        <w:color w:val="414042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414042"/>
                        <w:sz w:val="20"/>
                      </w:rPr>
                      <w:t>:</w:t>
                    </w:r>
                    <w:r>
                      <w:rPr>
                        <w:b/>
                        <w:color w:val="414042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414042"/>
                        <w:sz w:val="20"/>
                      </w:rPr>
                      <w:t>Catherine</w:t>
                    </w:r>
                    <w:r>
                      <w:rPr>
                        <w:b/>
                        <w:color w:val="414042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414042"/>
                        <w:sz w:val="20"/>
                      </w:rPr>
                      <w:t>Houtekier</w:t>
                    </w:r>
                  </w:p>
                  <w:p>
                    <w:pPr>
                      <w:spacing w:before="9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414042"/>
                        <w:sz w:val="20"/>
                      </w:rPr>
                      <w:t>Courriel:</w:t>
                    </w:r>
                    <w:r>
                      <w:rPr>
                        <w:b/>
                        <w:color w:val="414042"/>
                        <w:spacing w:val="-18"/>
                        <w:sz w:val="20"/>
                      </w:rPr>
                      <w:t> </w:t>
                    </w:r>
                    <w:hyperlink r:id="rId11">
                      <w:r>
                        <w:rPr>
                          <w:color w:val="414042"/>
                          <w:sz w:val="20"/>
                        </w:rPr>
                        <w:t>catherine.houtekier.inlb@ssss.gouv.qc.ca</w:t>
                      </w:r>
                    </w:hyperlink>
                  </w:p>
                </w:txbxContent>
              </v:textbox>
              <w10:wrap type="none"/>
            </v:shape>
            <v:shape style="position:absolute;left:1441;top:2604;width:8808;height:559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414042"/>
                        <w:sz w:val="20"/>
                      </w:rPr>
                      <w:t>Lien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20"/>
                      </w:rPr>
                      <w:t>pour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20"/>
                      </w:rPr>
                      <w:t>vous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20"/>
                      </w:rPr>
                      <w:t>inscrire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20"/>
                      </w:rPr>
                      <w:t>et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20"/>
                      </w:rPr>
                      <w:t>assister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20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20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20"/>
                      </w:rPr>
                      <w:t>conférence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20"/>
                      </w:rPr>
                      <w:t>:</w:t>
                    </w:r>
                  </w:p>
                  <w:p>
                    <w:pPr>
                      <w:spacing w:before="106"/>
                      <w:ind w:left="56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hyperlink r:id="rId12">
                      <w:r>
                        <w:rPr>
                          <w:rFonts w:ascii="Arial"/>
                          <w:b/>
                          <w:color w:val="0000FF"/>
                          <w:sz w:val="20"/>
                          <w:u w:val="thick" w:color="0000FF"/>
                        </w:rPr>
                        <w:t>https://us02web.zoom.us/j/83437722080?pwd=WmxkMC9kZmVHRHYycXo1OW</w:t>
                      </w:r>
                    </w:hyperlink>
                    <w:r>
                      <w:rPr>
                        <w:rFonts w:ascii="Arial"/>
                        <w:b/>
                        <w:color w:val="0000FF"/>
                        <w:sz w:val="20"/>
                        <w:u w:val="thick" w:color="0000FF"/>
                      </w:rPr>
                      <w:t>Y5UVNYdz09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2240" w:h="15840"/>
      <w:pgMar w:top="0" w:bottom="280" w:left="1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276"/>
    </w:pPr>
    <w:rPr>
      <w:rFonts w:ascii="Verdana" w:hAnsi="Verdana" w:eastAsia="Verdana" w:cs="Verdana"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hyperlink" Target="mailto:catherine.houtekier.inlb@ssss.gouv.qc.ca" TargetMode="External"/><Relationship Id="rId12" Type="http://schemas.openxmlformats.org/officeDocument/2006/relationships/hyperlink" Target="https://us02web.zoom.us/j/83437722080?pwd=WmxkMC9kZmVHRHYycXo1OWY5UVNYdz09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Affiche_CRLB_Yvon_Doux Marot</dc:title>
  <dcterms:created xsi:type="dcterms:W3CDTF">2022-09-30T12:35:24Z</dcterms:created>
  <dcterms:modified xsi:type="dcterms:W3CDTF">2022-09-30T12:35:24Z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2022-09-30T00:00:00Z</vt:filetime>
  </property>
</Properties>
</file>